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bookmarkEnd w:id="0"/>
      <w:r>
        <w:rPr>
          <w:rFonts w:ascii="仿宋" w:hAnsi="仿宋" w:eastAsia="仿宋" w:cs="仿宋"/>
          <w:color w:val="000000"/>
          <w:sz w:val="24"/>
          <w:szCs w:val="24"/>
          <w:bdr w:val="none" w:color="auto" w:sz="0" w:space="0"/>
        </w:rPr>
        <w:t>郑商函</w:t>
      </w:r>
      <w:r>
        <w:rPr>
          <w:rFonts w:ascii="仿宋_GB2312" w:eastAsia="仿宋_GB2312" w:cs="仿宋_GB2312"/>
          <w:color w:val="000000"/>
          <w:sz w:val="24"/>
          <w:szCs w:val="24"/>
          <w:bdr w:val="none" w:color="auto" w:sz="0" w:space="0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  <w:bdr w:val="none" w:color="auto" w:sz="0" w:space="0"/>
        </w:rPr>
        <w:t>2021</w:t>
      </w:r>
      <w:r>
        <w:rPr>
          <w:rFonts w:hint="default" w:ascii="仿宋_GB2312" w:eastAsia="仿宋_GB2312" w:cs="仿宋_GB2312"/>
          <w:color w:val="000000"/>
          <w:sz w:val="24"/>
          <w:szCs w:val="24"/>
          <w:bdr w:val="none" w:color="auto" w:sz="0" w:space="0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bdr w:val="none" w:color="auto" w:sz="0" w:space="0"/>
        </w:rPr>
        <w:t>331号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各会员单位：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为进一步加强程序化交易报备工作，根据《郑州商品交易所交易规则》第一百一十条的规定，自</w:t>
      </w:r>
      <w:r>
        <w:rPr>
          <w:sz w:val="24"/>
          <w:szCs w:val="24"/>
          <w:bdr w:val="none" w:color="auto" w:sz="0" w:space="0"/>
        </w:rPr>
        <w:t>2021</w:t>
      </w: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年</w:t>
      </w:r>
      <w:r>
        <w:rPr>
          <w:sz w:val="24"/>
          <w:szCs w:val="24"/>
          <w:bdr w:val="none" w:color="auto" w:sz="0" w:space="0"/>
        </w:rPr>
        <w:t>7</w:t>
      </w: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月</w:t>
      </w:r>
      <w:r>
        <w:rPr>
          <w:sz w:val="24"/>
          <w:szCs w:val="24"/>
          <w:bdr w:val="none" w:color="auto" w:sz="0" w:space="0"/>
        </w:rPr>
        <w:t>16</w:t>
      </w: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日起，郑州商品交易所（以下简称郑商所）对程序化交易客户的交易信息报备要求进行完善。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</w:pPr>
      <w:r>
        <w:rPr>
          <w:rFonts w:ascii="黑体" w:hAnsi="宋体" w:eastAsia="黑体" w:cs="黑体"/>
          <w:sz w:val="24"/>
          <w:szCs w:val="24"/>
          <w:bdr w:val="none" w:color="auto" w:sz="0" w:space="0"/>
        </w:rPr>
        <w:t>一、报备标准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郑商所将根据客户的申报、撤单、成交等交易数据，确定需要完善报备信息的程序化交易客户。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对于同一客户在不同期货公司会员处开有多个交易编码的，郑商所对其申报、撤单、成交等指标合并计算。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</w:pPr>
      <w:r>
        <w:rPr>
          <w:rFonts w:hint="eastAsia" w:ascii="黑体" w:hAnsi="宋体" w:eastAsia="黑体" w:cs="黑体"/>
          <w:sz w:val="24"/>
          <w:szCs w:val="24"/>
          <w:bdr w:val="none" w:color="auto" w:sz="0" w:space="0"/>
        </w:rPr>
        <w:t>二、报备要求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对达到报备标准的客户，郑商所将通知客户所在的期货公司会员，期货公司会员应当及时告知客户。客户应当通过期货公司会员向郑商所进行相关信息报备，履行信息报备义务，规范交易行为。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报备内容涉及客户基本信息，以及软件信息、交易策略和风控措施等事项的简要说明。郑商所可以根据客户交易行为、报备信息等要求客户补充报告相关信息。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期货公司会员应当在收到郑商所通知后的</w:t>
      </w:r>
      <w:r>
        <w:rPr>
          <w:sz w:val="24"/>
          <w:szCs w:val="24"/>
          <w:bdr w:val="none" w:color="auto" w:sz="0" w:space="0"/>
        </w:rPr>
        <w:t>10</w:t>
      </w: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个交易日内，按照郑商所要求通过会员服务系统上报相关信息，每个交易日</w:t>
      </w:r>
      <w:r>
        <w:rPr>
          <w:sz w:val="24"/>
          <w:szCs w:val="24"/>
          <w:bdr w:val="none" w:color="auto" w:sz="0" w:space="0"/>
        </w:rPr>
        <w:t>15:00</w:t>
      </w: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前上报视为当日报备。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报备客户需向期货公司会员提供签字或盖章版的纸质件，期货公司会员留存纸质件备查。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郑商所对期货公司会员提交的报备材料进行核查，发现信息不全或存有疑义的，将向期货公司会员进行反馈，要求补充材料或进行相关解释。期货公司会员在收到反馈后，应当按照要求及时修改或补充材料后重新进行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请各会员单位高度重视，切实履行报备职责。对于不按要求提供信息或提供虚假信息的程序化交易客户，郑商所将依据情况采取相应自律监管措施。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特此通知。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750"/>
        <w:jc w:val="right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郑州商品交易所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70"/>
        <w:jc w:val="right"/>
      </w:pPr>
      <w:r>
        <w:rPr>
          <w:sz w:val="24"/>
          <w:szCs w:val="24"/>
          <w:bdr w:val="none" w:color="auto" w:sz="0" w:space="0"/>
        </w:rPr>
        <w:t>2021</w:t>
      </w: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年</w:t>
      </w:r>
      <w:r>
        <w:rPr>
          <w:sz w:val="24"/>
          <w:szCs w:val="24"/>
          <w:bdr w:val="none" w:color="auto" w:sz="0" w:space="0"/>
        </w:rPr>
        <w:t>7</w:t>
      </w: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月</w:t>
      </w:r>
      <w:r>
        <w:rPr>
          <w:sz w:val="24"/>
          <w:szCs w:val="24"/>
          <w:bdr w:val="none" w:color="auto" w:sz="0" w:space="0"/>
        </w:rPr>
        <w:t>16</w:t>
      </w: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F239B"/>
    <w:rsid w:val="518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2023-07-11T09:10:00Z</dcterms:created>
  <dc:creator>user01</dc:creator>
  <cp:lastModifiedBy>user01</cp:lastModifiedBy>
  <dcterms:modified xsi:type="dcterms:W3CDTF">2023-07-11T09:11:31Z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B566B450C3254DB8A563765B21F0DA3D</vt:lpwstr>
  </property>
</Properties>
</file>